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84" w:rsidRDefault="00980084">
      <w:pPr>
        <w:pStyle w:val="1"/>
        <w:spacing w:after="0"/>
        <w:jc w:val="center"/>
        <w:rPr>
          <w:sz w:val="28"/>
          <w:szCs w:val="28"/>
        </w:rPr>
      </w:pPr>
    </w:p>
    <w:p w:rsidR="00980084" w:rsidRDefault="004D0334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ХОХОЛЬСКОГО ГОРОДСКОГО ПОСЕЛЕНИЯ</w:t>
      </w:r>
    </w:p>
    <w:p w:rsidR="00980084" w:rsidRDefault="004D0334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80084" w:rsidRDefault="004D0334">
      <w:pPr>
        <w:pStyle w:val="1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980084" w:rsidRDefault="004D0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84" w:rsidRDefault="004D0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80084" w:rsidRDefault="009800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084" w:rsidRDefault="004D03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09.11.2020 г. N 42</w:t>
      </w:r>
      <w:r w:rsidR="00383E0B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980084" w:rsidRDefault="009800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80084" w:rsidRDefault="004D03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основных направлений</w:t>
      </w:r>
    </w:p>
    <w:p w:rsidR="00980084" w:rsidRDefault="004D03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бюджетной и налоговой политики Хохольского городского поселения</w:t>
      </w:r>
    </w:p>
    <w:p w:rsidR="00980084" w:rsidRDefault="004D03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2021 год и на плановый период 2022 и 2023 годов</w:t>
      </w:r>
    </w:p>
    <w:p w:rsidR="00980084" w:rsidRDefault="009800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4D033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40 Положения о бюджетном процессе в Хохольском городском поселении, принятого решением СНД Хохольского городского поселения от 13.11.2015 N 43 (с изменениями и дополнениями), в целях разработки проекта бюджета Хохольского городского поселения  на 2021 год и плановый период 2022 и 2023 годов администрация Хохольского городского поселения  постановляет:</w:t>
      </w:r>
    </w:p>
    <w:p w:rsidR="00980084" w:rsidRDefault="004D0334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основные направления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Хохольского городского поселения  на 2021 год и плановый период 2022 и 2023 годов (Приложение).</w:t>
      </w:r>
    </w:p>
    <w:p w:rsidR="00980084" w:rsidRDefault="004D0334">
      <w:pPr>
        <w:pStyle w:val="1"/>
        <w:spacing w:before="0" w:after="0"/>
        <w:ind w:firstLine="720"/>
        <w:jc w:val="both"/>
      </w:pPr>
      <w:r>
        <w:t>2. Начальнику сектора-главному бухгалтеру администрации Хохольского городского поселения  (Ливенцевой Т.А.) обеспечить соблюдение основных направлений бюджетной и налоговой политики Хохольского городского поселения Хохольского муниципального района Воронежской области на 2021 год и плановый период 2022 и 2023 годов.</w:t>
      </w:r>
    </w:p>
    <w:p w:rsidR="00980084" w:rsidRDefault="004D033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980084" w:rsidRDefault="004D0334">
      <w:pPr>
        <w:ind w:firstLine="709"/>
        <w:jc w:val="both"/>
        <w:rPr>
          <w:rFonts w:cs="Times New Roman"/>
        </w:rPr>
      </w:pPr>
      <w:r>
        <w:rPr>
          <w:rFonts w:cs="Times New Roman"/>
        </w:rPr>
        <w:t>4. Постановление вступает в  силу с момента подписания и подлежит обнародованию на информационных стендах Хохольского городского поселения и  размещению на официальном сайте администрации Хохольского городского поселения в сети интернет https://hohol-vrn.ru/.</w:t>
      </w:r>
    </w:p>
    <w:p w:rsidR="00980084" w:rsidRDefault="0098008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4D033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А.Ю.Родивилов</w:t>
      </w:r>
    </w:p>
    <w:p w:rsidR="00980084" w:rsidRDefault="009800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ind w:firstLine="540"/>
        <w:jc w:val="both"/>
      </w:pPr>
    </w:p>
    <w:p w:rsidR="00980084" w:rsidRDefault="00980084">
      <w:pPr>
        <w:pStyle w:val="ConsPlusNormal"/>
        <w:ind w:firstLine="540"/>
        <w:jc w:val="both"/>
      </w:pPr>
    </w:p>
    <w:p w:rsidR="00980084" w:rsidRDefault="00980084">
      <w:pPr>
        <w:pStyle w:val="ConsPlusNormal"/>
        <w:ind w:firstLine="540"/>
        <w:jc w:val="both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  <w:rPr>
          <w:rFonts w:ascii="Times New Roman" w:hAnsi="Times New Roman" w:cs="Times New Roman"/>
        </w:rPr>
      </w:pPr>
    </w:p>
    <w:p w:rsidR="00980084" w:rsidRDefault="00980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084" w:rsidRDefault="009800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084" w:rsidRDefault="004D0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80084" w:rsidRDefault="004D0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80084" w:rsidRDefault="004D0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городского поселения</w:t>
      </w:r>
    </w:p>
    <w:p w:rsidR="00980084" w:rsidRDefault="004D0334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09.11.2020 г. N 424</w:t>
      </w:r>
    </w:p>
    <w:p w:rsidR="00980084" w:rsidRDefault="00980084">
      <w:pPr>
        <w:pStyle w:val="ConsPlusNormal"/>
        <w:ind w:firstLine="540"/>
        <w:jc w:val="both"/>
      </w:pPr>
    </w:p>
    <w:p w:rsidR="00980084" w:rsidRDefault="00980084">
      <w:pPr>
        <w:pStyle w:val="ConsPlusNormal"/>
        <w:jc w:val="right"/>
      </w:pPr>
    </w:p>
    <w:p w:rsidR="00980084" w:rsidRDefault="00980084">
      <w:pPr>
        <w:pStyle w:val="ConsPlusNormal"/>
        <w:jc w:val="right"/>
      </w:pPr>
    </w:p>
    <w:p w:rsidR="00980084" w:rsidRDefault="004D0334">
      <w:pPr>
        <w:pStyle w:val="Textbody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направления бюджетной и налоговой  политики</w:t>
      </w:r>
    </w:p>
    <w:p w:rsidR="00980084" w:rsidRDefault="004D0334">
      <w:pPr>
        <w:pStyle w:val="Textbody"/>
        <w:jc w:val="center"/>
      </w:pPr>
      <w:r>
        <w:t> </w:t>
      </w:r>
      <w:r>
        <w:rPr>
          <w:rFonts w:ascii="Times New Roman" w:hAnsi="Times New Roman"/>
          <w:b/>
          <w:sz w:val="28"/>
        </w:rPr>
        <w:t>на 2021 год и на плановый период 2021 и 2022 годов</w:t>
      </w:r>
    </w:p>
    <w:p w:rsidR="00980084" w:rsidRDefault="004D0334">
      <w:pPr>
        <w:pStyle w:val="Textbody"/>
        <w:ind w:firstLine="540"/>
        <w:jc w:val="both"/>
      </w:pPr>
      <w:r>
        <w:t>  </w:t>
      </w:r>
    </w:p>
    <w:p w:rsidR="00980084" w:rsidRDefault="004D0334">
      <w:pPr>
        <w:widowControl/>
        <w:ind w:firstLine="720"/>
        <w:jc w:val="both"/>
      </w:pPr>
      <w:r>
        <w:rPr>
          <w:rFonts w:ascii="Calibri" w:eastAsia="Times New Roman" w:hAnsi="Calibri" w:cs="Times New Roman"/>
          <w:sz w:val="22"/>
          <w:szCs w:val="22"/>
          <w:lang w:bidi="ar-SA"/>
        </w:rPr>
        <w:t> </w:t>
      </w:r>
      <w:r>
        <w:rPr>
          <w:rFonts w:eastAsia="Times New Roman" w:cs="Times New Roman"/>
          <w:szCs w:val="22"/>
          <w:lang w:bidi="ar-SA"/>
        </w:rPr>
        <w:t xml:space="preserve">Основные направления бюджетной, налоговой и долговой политики Хохольского городского поселения на 2021 год и плановый период 2022 и 2023 годов определены в соответствии с Бюджетным кодексом Российской Федерации, Посланием Президента Российской Федерации Федеральному собранию от 15.01.2019,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Указа Президента Российской Федерации от 7 мая 2012 года № 597,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</w:t>
      </w:r>
      <w:r>
        <w:rPr>
          <w:rFonts w:eastAsia="Times New Roman" w:cs="Times New Roman"/>
          <w:color w:val="22272F"/>
          <w:lang w:bidi="ar-SA"/>
        </w:rPr>
        <w:t>Основными направлениями бюджетной, налоговой и таможенно-тарифной политики на 2021 год и на плановый период 2022 и 2023 годов</w:t>
      </w:r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szCs w:val="22"/>
          <w:lang w:bidi="ar-SA"/>
        </w:rPr>
        <w:t xml:space="preserve"> Стратегии социально-экономического развития Хохольского городского поселения на 2017 - 2022 годы, нормативно-правовых актов Воронежской области и Хохольского муниципального района, со статьей 40 Положения о бюджетном процессе в Хохольском городском поселении, принятого решением СНД Хохольского городского поселения от 13.11.2015 N 43, а также с учетом реализации бюджетной политики и налоговой политики на 2019-2020 годы.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и налоговая  политика Хохольского городского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Хохольского городского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Основных направлений бюджетной и налоговой  политики является определение условий, используемых при составлении проекта бюджета Хохольского городского поселения на 2021 год и на плановый период 2022 и 2023 годов, подходов к его формированию, основных характеристик и прогнозируемых параметров до 2023 года, а также обеспечение прозрачности и открытости бюджетного планирования.</w:t>
      </w:r>
    </w:p>
    <w:p w:rsidR="00980084" w:rsidRDefault="0098008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80084" w:rsidRDefault="004D0334">
      <w:pPr>
        <w:keepNext/>
        <w:keepLines/>
        <w:widowControl/>
        <w:jc w:val="center"/>
        <w:outlineLvl w:val="0"/>
      </w:pPr>
      <w:r>
        <w:t> </w:t>
      </w:r>
      <w:r>
        <w:rPr>
          <w:rFonts w:cs="Times New Roman"/>
          <w:b/>
          <w:bCs/>
          <w:sz w:val="28"/>
          <w:szCs w:val="28"/>
        </w:rPr>
        <w:t xml:space="preserve">Основные итоги бюджетной и налоговой политики </w:t>
      </w:r>
      <w:r>
        <w:rPr>
          <w:rFonts w:cs="Times New Roman"/>
          <w:b/>
          <w:sz w:val="28"/>
          <w:szCs w:val="28"/>
        </w:rPr>
        <w:t xml:space="preserve">Хохольского городского поселения </w:t>
      </w:r>
      <w:r>
        <w:rPr>
          <w:rFonts w:cs="Times New Roman"/>
          <w:b/>
          <w:bCs/>
          <w:sz w:val="28"/>
          <w:szCs w:val="28"/>
        </w:rPr>
        <w:t>2019 - начала 2020 годов</w:t>
      </w:r>
    </w:p>
    <w:p w:rsidR="00980084" w:rsidRDefault="00980084">
      <w:pPr>
        <w:keepNext/>
        <w:keepLines/>
        <w:widowControl/>
        <w:jc w:val="center"/>
        <w:outlineLvl w:val="0"/>
        <w:rPr>
          <w:rFonts w:cs="Times New Roman"/>
          <w:bCs/>
        </w:rPr>
      </w:pP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Бюджетная и налоговая политика Хохольского городского поселения на протяжении ряда последних лет ориентирована на концентрацию бюджетных средств для решения ключевых проблем развития городского поселения.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Основным резервом в отчетном периоде являлось повышение эффективности бюджетных расходов в целом, в том числе за счет оптимизации закупок для муниципальных нужд.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За 2019 год в доходную часть бюджета Хохольского городского поселения поступило 84592,3 тыс.рублей (100,4 % от плана), объем налоговых и неналоговых доходов бюджета за указанный период составил 56386,6 тыс. рублей (100,6 % от плана).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Снижение собственных доходов (налоговых и неналоговых поступлений) по сравнению с 2018 годом составило 14,7 %.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Среди зачисляемых в бюджет поселения доходных источников основную долю составляют: налог на доходы физических лиц – 35,7 %, земельный налог – 41,2 %, акцизы по подакцизным </w:t>
      </w:r>
      <w:r>
        <w:rPr>
          <w:rFonts w:cs="Times New Roman"/>
        </w:rPr>
        <w:lastRenderedPageBreak/>
        <w:t>товарам – 13,3 %, доходы от использования имущества, находящегося в муниципальной собственности – 4,1 %, налог на имущество физических лиц – 3,4 %.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В течение 2019 года специалисты Администрации Хохольского городского поселения проводили ряд мероприятий по снижению недоимки и увеличению доходной части Хохольского городского поселения:</w:t>
      </w:r>
    </w:p>
    <w:p w:rsidR="00980084" w:rsidRDefault="004D0334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>Ежемесячно осуществлялся мониторинг задолженности по местным налогам в бюджет Хохольского городского поселения, который проводится на основании информации, предоставленной Межрайонной ИФНС России № 8 по Воронежской области. По результатам мониторинга выявленным должникам (юридическим и физическим лицам), имеющим проср</w:t>
      </w:r>
      <w:r>
        <w:rPr>
          <w:rFonts w:cs="Times New Roman"/>
        </w:rPr>
        <w:t>о</w:t>
      </w:r>
      <w:r>
        <w:rPr>
          <w:rFonts w:cs="Times New Roman"/>
        </w:rPr>
        <w:t>ченную задолженность, направлены письма с информацией о задолженности и рекомендацией о ее погашении.</w:t>
      </w:r>
    </w:p>
    <w:p w:rsidR="00980084" w:rsidRDefault="004D0334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В 2019 году действовала </w:t>
      </w:r>
      <w:bookmarkStart w:id="0" w:name="OLE_LINK53"/>
      <w:bookmarkStart w:id="1" w:name="OLE_LINK54"/>
      <w:r>
        <w:rPr>
          <w:rFonts w:cs="Times New Roman"/>
        </w:rPr>
        <w:t>межведомственная комиссия Хохольского муниципал</w:t>
      </w:r>
      <w:r>
        <w:rPr>
          <w:rFonts w:cs="Times New Roman"/>
        </w:rPr>
        <w:t>ь</w:t>
      </w:r>
      <w:r>
        <w:rPr>
          <w:rFonts w:cs="Times New Roman"/>
        </w:rPr>
        <w:t>ного района по укреплению налоговой дисциплины и легализации налогооблагаемой базы</w:t>
      </w:r>
      <w:bookmarkEnd w:id="0"/>
      <w:bookmarkEnd w:id="1"/>
      <w:r>
        <w:rPr>
          <w:rFonts w:cs="Times New Roman"/>
        </w:rPr>
        <w:t xml:space="preserve">. </w:t>
      </w:r>
    </w:p>
    <w:p w:rsidR="00980084" w:rsidRDefault="004D0334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>С целью увеличения собираемости местных налогов в бюджет Хохольского г</w:t>
      </w:r>
      <w:r>
        <w:rPr>
          <w:rFonts w:cs="Times New Roman"/>
        </w:rPr>
        <w:t>о</w:t>
      </w:r>
      <w:r>
        <w:rPr>
          <w:rFonts w:cs="Times New Roman"/>
        </w:rPr>
        <w:t>родского поселения Администрацией городского поселения в период октябрь-ноябрь 2019 года была проведена информационная кампания: На официальном сайте администрации Хохольск</w:t>
      </w:r>
      <w:r>
        <w:rPr>
          <w:rFonts w:cs="Times New Roman"/>
        </w:rPr>
        <w:t>о</w:t>
      </w:r>
      <w:r>
        <w:rPr>
          <w:rFonts w:cs="Times New Roman"/>
        </w:rPr>
        <w:t>го городского поселения в сети Интернет размещена информация об имущественных налогах и о принятых решениях по местным налогам, на информационных стендах в Хохольском горо</w:t>
      </w:r>
      <w:r>
        <w:rPr>
          <w:rFonts w:cs="Times New Roman"/>
        </w:rPr>
        <w:t>д</w:t>
      </w:r>
      <w:r>
        <w:rPr>
          <w:rFonts w:cs="Times New Roman"/>
        </w:rPr>
        <w:t>ском поселении размещены информационные листовки о сроках и способах оплаты имущес</w:t>
      </w:r>
      <w:r>
        <w:rPr>
          <w:rFonts w:cs="Times New Roman"/>
        </w:rPr>
        <w:t>т</w:t>
      </w:r>
      <w:r>
        <w:rPr>
          <w:rFonts w:cs="Times New Roman"/>
        </w:rPr>
        <w:t>венных налогов, буклеты с информацией об уплате имущественных налогов раздаются гражд</w:t>
      </w:r>
      <w:r>
        <w:rPr>
          <w:rFonts w:cs="Times New Roman"/>
        </w:rPr>
        <w:t>а</w:t>
      </w:r>
      <w:r>
        <w:rPr>
          <w:rFonts w:cs="Times New Roman"/>
        </w:rPr>
        <w:t>нам, обратившимся в администрацию поселения за выдачей справок, оформлением документов по земельным участкам и личным вопросам, в районной газете «Народное слово» опубликовано информационное сообщение об уплате имущественных налогов в установленный срок.</w:t>
      </w:r>
    </w:p>
    <w:p w:rsidR="00980084" w:rsidRDefault="004D0334">
      <w:pPr>
        <w:ind w:firstLine="540"/>
        <w:jc w:val="both"/>
        <w:rPr>
          <w:rFonts w:cs="Times New Roman"/>
        </w:rPr>
      </w:pPr>
      <w:r>
        <w:rPr>
          <w:rFonts w:cs="Times New Roman"/>
        </w:rPr>
        <w:t>В 2019 году Администрации городского поселения удалось обеспечить финансирование всех социальных обязательств, в том числе вовремя выплатить заработную плату работникам Администрации, обеспечить социальные выплаты и другие обязательства.</w:t>
      </w:r>
    </w:p>
    <w:p w:rsidR="00980084" w:rsidRDefault="00980084">
      <w:pPr>
        <w:ind w:firstLine="720"/>
        <w:jc w:val="both"/>
        <w:rPr>
          <w:rFonts w:cs="Times New Roman"/>
        </w:rPr>
      </w:pP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задачи бюджетной и налоговой  политики на 2021 год и на плановый период 2022 и 2023 годов.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бюджетная и налоговая  политика на 2021 год и на плановый период 2022 и 2022 годов будет направлена на: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сбалансированности и долгосрочной устойчивости бюджета Хохольского городского поселения 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потребности граждан в муниципальных услугах, повышение их доступности и качества;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принципов открытости и прозрачности управления муниципальными финансами;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повышение качества и доступности информации о бюджете для граждан;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Бюджетная и налоговая  политика в области доходов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снижения темпов роста собственных доходов бюджета Хохольского городского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и налоговая  политика Хохольского городского поселения на 2021 год и на плановый период 2022 и 2023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Хохольского городского поселения 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и налоговая  политика Хохольского городского поселения будет направлена на обеспечение поступления доходов в бюджет поселения в запланированных объемах за счет: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качественного администрирования доходов участниками бюджетного процесса;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управления муниципальной собственностью;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мероприятий по развитию застроенных территорий;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поселения;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бюджетной и налоговой 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и налоговая  политика, проводимая органами местного самоуправления Хохольского городского поселения,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</w:t>
      </w:r>
      <w:r>
        <w:rPr>
          <w:rFonts w:ascii="Times New Roman" w:hAnsi="Times New Roman"/>
          <w:sz w:val="24"/>
          <w:szCs w:val="24"/>
        </w:rPr>
        <w:lastRenderedPageBreak/>
        <w:t>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Бюджетная и налоговая  политика в области расходов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Бюджетной и налоговой  политики поселения на 2021 год и на плановый период 2022 и 2023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Хохольского городского поселения 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и налоговая  политика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основных параметров бюджета Хохольского городского поселения исходя из ожидаемого прогноза поступления доходов и допустимого уровня дефицита бюджета;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контроля в сфере закупок для муниципальных нужд Хохольского городского поселения;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прогнозируемой ситуации ограниченности финансовых ресурсов приоритетными на 2021 - 2023 годы признаются бюджетные расходы на: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бесперебойного финансирования действующих расходных обязательств Хохольского городского поселения 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достижения к 2021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областных и федеральных программах;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характеристики бюджета поселения на 2021 -2023 годы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характеристики бюджета поселения на 2021 и плановый период 2022 и 2023 годов, рассчитанные на основе основных параметров прогноза социально-экономического развития Хохольского городского поселения на 2020 год и на период до 2023 года, представлены в таблице.</w:t>
      </w:r>
    </w:p>
    <w:p w:rsidR="00980084" w:rsidRDefault="004D0334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78"/>
        <w:gridCol w:w="1482"/>
        <w:gridCol w:w="1559"/>
        <w:gridCol w:w="54"/>
        <w:gridCol w:w="1505"/>
        <w:gridCol w:w="45"/>
        <w:gridCol w:w="1231"/>
      </w:tblGrid>
      <w:tr w:rsidR="00980084">
        <w:trPr>
          <w:trHeight w:val="8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jc w:val="center"/>
              <w:rPr>
                <w:rFonts w:cs="Times New Roman"/>
                <w:b/>
                <w:bCs/>
              </w:rPr>
            </w:pP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2020 год РЕШЕНИЕ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jc w:val="center"/>
              <w:rPr>
                <w:rFonts w:cs="Times New Roman"/>
                <w:b/>
                <w:bCs/>
              </w:rPr>
            </w:pP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2021 год</w:t>
            </w: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jc w:val="center"/>
              <w:rPr>
                <w:rFonts w:cs="Times New Roman"/>
                <w:b/>
                <w:bCs/>
              </w:rPr>
            </w:pP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2022 год</w:t>
            </w: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980084">
            <w:pPr>
              <w:jc w:val="center"/>
              <w:rPr>
                <w:rFonts w:cs="Times New Roman"/>
                <w:b/>
                <w:bCs/>
              </w:rPr>
            </w:pP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2023 год</w:t>
            </w:r>
          </w:p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92361,7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A42D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73136,4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A42D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66397,</w:t>
            </w:r>
            <w:r w:rsidR="004D0334">
              <w:rPr>
                <w:rFonts w:cs="Times New Roman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A42D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72349</w:t>
            </w:r>
            <w:r w:rsidR="004D0334">
              <w:rPr>
                <w:rFonts w:cs="Times New Roman"/>
                <w:b/>
              </w:rPr>
              <w:t>,0</w:t>
            </w: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 них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pStyle w:val="1"/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pStyle w:val="1"/>
              <w:spacing w:before="0"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pStyle w:val="1"/>
              <w:spacing w:before="0" w:after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pStyle w:val="1"/>
              <w:spacing w:before="0" w:after="0"/>
              <w:jc w:val="center"/>
            </w:pP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Налоговые</w:t>
            </w:r>
          </w:p>
          <w:p w:rsidR="00980084" w:rsidRDefault="0098008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55514,0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56384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59017,0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60828,0</w:t>
            </w:r>
          </w:p>
        </w:tc>
      </w:tr>
      <w:tr w:rsidR="00980084" w:rsidTr="00A42DA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</w:pPr>
            <w:r>
              <w:rPr>
                <w:rFonts w:cs="Times New Roman"/>
                <w:b/>
                <w:bCs/>
              </w:rPr>
              <w:t>Неналоговые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</w:pPr>
            <w:r>
              <w:rPr>
                <w:rFonts w:cs="Times New Roman"/>
                <w:b/>
              </w:rPr>
              <w:t>3335,0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2655,0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2693,0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2742,0</w:t>
            </w:r>
          </w:p>
        </w:tc>
      </w:tr>
      <w:tr w:rsidR="00980084" w:rsidTr="00A42DAE">
        <w:trPr>
          <w:trHeight w:val="344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Безвозмездные перечисления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41304,8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 w:rsidRPr="00A42DAE">
              <w:rPr>
                <w:b/>
                <w:bCs/>
              </w:rPr>
              <w:t>14097,4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8779,0</w:t>
            </w:r>
          </w:p>
        </w:tc>
      </w:tr>
      <w:tr w:rsidR="00980084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</w:pPr>
            <w:r>
              <w:rPr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107724,3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73136,4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66397,0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A42DAE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72349,0</w:t>
            </w: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</w:pPr>
            <w:r>
              <w:rPr>
                <w:rFonts w:cs="Times New Roman"/>
                <w:b/>
                <w:bCs/>
              </w:rPr>
              <w:t>Дефицит (-)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-7079,3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980084" w:rsidP="00A42D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980084" w:rsidP="00A42D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A42DAE" w:rsidRDefault="00980084" w:rsidP="00A42DAE">
            <w:pPr>
              <w:jc w:val="center"/>
              <w:rPr>
                <w:b/>
                <w:bCs/>
              </w:rPr>
            </w:pPr>
          </w:p>
        </w:tc>
      </w:tr>
      <w:tr w:rsidR="00980084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84" w:rsidRDefault="004D033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Размер дефицита (%)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084" w:rsidRDefault="00980084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084" w:rsidRPr="00A42DAE" w:rsidRDefault="00980084" w:rsidP="00A42DA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084" w:rsidRPr="00A42DAE" w:rsidRDefault="00980084" w:rsidP="00A42DA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084" w:rsidRPr="00A42DAE" w:rsidRDefault="00980084" w:rsidP="00A42DA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980084" w:rsidRPr="00A42DAE" w:rsidRDefault="004D0334" w:rsidP="00A42DAE">
      <w:r w:rsidRPr="00A42DAE">
        <w:t> </w:t>
      </w:r>
    </w:p>
    <w:p w:rsidR="00980084" w:rsidRDefault="004D0334" w:rsidP="00A42DAE">
      <w:r w:rsidRPr="00A42DAE">
        <w:t> </w:t>
      </w:r>
      <w:r w:rsidR="00A42DAE">
        <w:t xml:space="preserve">  </w:t>
      </w:r>
      <w:r w:rsidRPr="00A42DAE">
        <w:t>Проект</w:t>
      </w:r>
      <w:r>
        <w:t xml:space="preserve"> местного бюджета на 2021 год и на плановый период 2022 - 2023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расходов местного бюджета, включенных в 2021 году в муниципальные программы, в общем объеме расходов составит  100%. Непрограммные мероприятия не предусматриваются.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  «базовых» объемов бюджетных ассигнований на 2021-2023 годы приняты бюджетные ассигнования, утвержденные решением Совета народных депутатов от 19.12.2019 года № 41 «О бюджете Хохольского городского поселения на 2020 год  и плановый период  2021 и 2022 годов», базовые объемы 2023 года приняты равными 2022 году.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работников бюджетной сферы в 2021 году;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 учитывается ежегодный рост цен на услуги организаций ЖКХ в соответствии со сценарными условиями социально-экономического развития Российской Федерации на 2021-2023 годы;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планирования социально-значимых расходов, исходя из базовых объемов 2020 года с ежегодной индексацией на уровень инфляции;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индексации с 1 октября 2021 года фондов оплаты труда категорий работников бюджетной сферы, не поименованных в майских указах Президента Российской Федерации;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исполнении  районного бюджета;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 формировании бюджетных ассигнований местного бюджета на финансовое обеспечение публичных нормативных обязательств и иных выплат населению в 2021-2023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Бюджетная и налоговая  политика в области формирования межбюджетных отношений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Межбюджетные отношения в 2021 - 2023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межбюджетных трансфертов на 2020-2023 годы представлена в таблице:</w:t>
      </w:r>
    </w:p>
    <w:p w:rsidR="00980084" w:rsidRDefault="004D0334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272"/>
        <w:gridCol w:w="229"/>
        <w:gridCol w:w="1587"/>
        <w:gridCol w:w="40"/>
        <w:gridCol w:w="1323"/>
        <w:gridCol w:w="82"/>
        <w:gridCol w:w="1459"/>
        <w:gridCol w:w="38"/>
        <w:gridCol w:w="1590"/>
        <w:gridCol w:w="28"/>
        <w:gridCol w:w="29"/>
        <w:gridCol w:w="40"/>
      </w:tblGrid>
      <w:tr w:rsidR="00980084">
        <w:trPr>
          <w:jc w:val="center"/>
        </w:trPr>
        <w:tc>
          <w:tcPr>
            <w:tcW w:w="354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084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</w:pP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2020г.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Проект</w:t>
            </w:r>
          </w:p>
        </w:tc>
        <w:tc>
          <w:tcPr>
            <w:tcW w:w="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</w:rPr>
            </w:pPr>
          </w:p>
        </w:tc>
      </w:tr>
      <w:tr w:rsidR="00980084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решение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2021 год</w:t>
            </w:r>
          </w:p>
        </w:tc>
        <w:tc>
          <w:tcPr>
            <w:tcW w:w="1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2022 год</w:t>
            </w:r>
          </w:p>
        </w:tc>
        <w:tc>
          <w:tcPr>
            <w:tcW w:w="16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2023 год</w:t>
            </w:r>
          </w:p>
        </w:tc>
      </w:tr>
      <w:tr w:rsidR="00980084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Межбюджетные трансферты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D71F49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37833,0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35,4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</w:tr>
      <w:tr w:rsidR="00980084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4D0334">
            <w:pPr>
              <w:ind w:firstLine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</w:tr>
      <w:tr w:rsidR="00980084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</w:tr>
      <w:tr w:rsidR="00D71F49" w:rsidRPr="00D71F49">
        <w:trPr>
          <w:trHeight w:val="5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084" w:rsidRPr="00D71F49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D71F49" w:rsidRDefault="004D0334">
            <w:pPr>
              <w:ind w:firstLine="720"/>
              <w:jc w:val="both"/>
              <w:rPr>
                <w:rFonts w:cs="Times New Roman"/>
              </w:rPr>
            </w:pPr>
            <w:r w:rsidRPr="00D71F49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D71F49" w:rsidRDefault="00D71F49">
            <w:pPr>
              <w:ind w:firstLine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37833,0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D71F49" w:rsidRDefault="004D0334">
            <w:pPr>
              <w:ind w:firstLine="720"/>
              <w:jc w:val="both"/>
              <w:rPr>
                <w:rFonts w:cs="Times New Roman"/>
              </w:rPr>
            </w:pPr>
            <w:r w:rsidRPr="00D71F49">
              <w:rPr>
                <w:rFonts w:cs="Times New Roman"/>
              </w:rPr>
              <w:t>35,4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D71F49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84" w:rsidRPr="00D71F49" w:rsidRDefault="00980084">
            <w:pPr>
              <w:ind w:firstLine="720"/>
              <w:jc w:val="both"/>
              <w:rPr>
                <w:rFonts w:cs="Times New Roman"/>
              </w:rPr>
            </w:pPr>
          </w:p>
        </w:tc>
      </w:tr>
    </w:tbl>
    <w:p w:rsidR="00980084" w:rsidRPr="00D71F49" w:rsidRDefault="0098008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объема средств на 2021 - 2023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жилищных отношений;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поселения;</w:t>
      </w:r>
    </w:p>
    <w:p w:rsidR="00980084" w:rsidRDefault="004D0334">
      <w:pPr>
        <w:widowControl/>
        <w:tabs>
          <w:tab w:val="center" w:pos="0"/>
        </w:tabs>
        <w:suppressAutoHyphens w:val="0"/>
        <w:ind w:firstLine="720"/>
        <w:jc w:val="both"/>
        <w:textAlignment w:val="auto"/>
        <w:rPr>
          <w:rFonts w:eastAsia="Calibri" w:cs="Times New Roman"/>
          <w:lang w:eastAsia="ar-SA" w:bidi="ar-SA"/>
        </w:rPr>
      </w:pPr>
      <w:r>
        <w:rPr>
          <w:rFonts w:eastAsia="Calibri" w:cs="Times New Roman"/>
          <w:lang w:eastAsia="ar-SA" w:bidi="ar-SA"/>
        </w:rPr>
        <w:t>- на осуществление части полномочий в области внутреннего финансового контроля;</w:t>
      </w:r>
    </w:p>
    <w:p w:rsidR="00980084" w:rsidRDefault="004D0334">
      <w:pPr>
        <w:widowControl/>
        <w:tabs>
          <w:tab w:val="center" w:pos="0"/>
        </w:tabs>
        <w:suppressAutoHyphens w:val="0"/>
        <w:ind w:firstLine="720"/>
        <w:jc w:val="both"/>
        <w:textAlignment w:val="auto"/>
      </w:pPr>
      <w:r>
        <w:rPr>
          <w:rFonts w:eastAsia="Calibri" w:cs="Times New Roman"/>
          <w:lang w:eastAsia="ar-SA" w:bidi="ar-SA"/>
        </w:rPr>
        <w:t>- на создание условий для организации досуга и обеспечения жителей городского пос</w:t>
      </w:r>
      <w:r>
        <w:rPr>
          <w:rFonts w:eastAsia="Calibri" w:cs="Times New Roman"/>
          <w:lang w:eastAsia="ar-SA" w:bidi="ar-SA"/>
        </w:rPr>
        <w:t>е</w:t>
      </w:r>
      <w:r>
        <w:rPr>
          <w:rFonts w:eastAsia="Calibri" w:cs="Times New Roman"/>
          <w:lang w:eastAsia="ar-SA" w:bidi="ar-SA"/>
        </w:rPr>
        <w:t>ления услугами организаций культуры.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Бюджетная и налоговая  политика в области управления муниципальным долгом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управления муниципальным долгом являются: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поддержание объема муниципального долга на экономически безопасном уровне;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муниципальных заимствований;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структуры муниципального долга с целью минимизации стоимости его обслуживания;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публичности информации о муниципальном долге.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Совершенствование управления исполнением бюджета Хохольского городского поселения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исполнением бюджета Хохольского городского поселения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управления ликвидностью бюджета Хохольского городского поселения в целях эффективного использования бюджетных средств;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Хохольского городского поселения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контроля за отсутствием кредиторской задолженности по принятым обязательствам;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Хохольского городского поселения для их осуществления;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учета и отчетности в Хохольском городском поселении;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Бюджетная и налоговая  политика в области финансового контроля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администрации Хохольского городского поселения в сфере финансового контроля и контроля в сфере закупок будет направлена на: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усиление контроля за эффективным управлением и распоряжением имуществом, находящимся в муниципальной собственности Хохольского городского поселения;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надежности и эффективности внутреннего финансового контроля в структурных подразделениях администрации Хохольского городского поселения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эффективной системы ведомственного контроля в сфере закупок, осуществляемого органами местного самоуправления Хохольского городского поселения, повышение уровня его организации и качества контрольных мероприятий;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980084" w:rsidRDefault="004D0334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Хохольского городского поселения о бюджете поселения  и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</w:t>
      </w:r>
      <w:r w:rsidR="00225C7B">
        <w:rPr>
          <w:rFonts w:ascii="Times New Roman" w:hAnsi="Times New Roman"/>
          <w:sz w:val="24"/>
          <w:szCs w:val="24"/>
        </w:rPr>
        <w:t>сектора бюджетного учета</w:t>
      </w:r>
      <w:r>
        <w:rPr>
          <w:rFonts w:ascii="Times New Roman" w:hAnsi="Times New Roman"/>
          <w:sz w:val="24"/>
          <w:szCs w:val="24"/>
        </w:rPr>
        <w:t>» на официальном сайте Администрации Хохольского городского поселения.</w:t>
      </w:r>
    </w:p>
    <w:p w:rsidR="00980084" w:rsidRDefault="0098008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80084" w:rsidSect="00E47723">
      <w:headerReference w:type="default" r:id="rId8"/>
      <w:footerReference w:type="default" r:id="rId9"/>
      <w:pgSz w:w="11906" w:h="16838"/>
      <w:pgMar w:top="284" w:right="991" w:bottom="567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D9" w:rsidRDefault="003029D9">
      <w:r>
        <w:separator/>
      </w:r>
    </w:p>
  </w:endnote>
  <w:endnote w:type="continuationSeparator" w:id="0">
    <w:p w:rsidR="003029D9" w:rsidRDefault="0030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B060402020202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9F" w:rsidRDefault="003029D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D9" w:rsidRDefault="003029D9">
      <w:r>
        <w:rPr>
          <w:color w:val="000000"/>
        </w:rPr>
        <w:separator/>
      </w:r>
    </w:p>
  </w:footnote>
  <w:footnote w:type="continuationSeparator" w:id="0">
    <w:p w:rsidR="003029D9" w:rsidRDefault="0030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9F" w:rsidRDefault="003029D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D9A"/>
    <w:multiLevelType w:val="multilevel"/>
    <w:tmpl w:val="962A48C6"/>
    <w:styleLink w:val="WW8Num1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AE44DB5"/>
    <w:multiLevelType w:val="multilevel"/>
    <w:tmpl w:val="AD36A6F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084"/>
    <w:rsid w:val="00225C7B"/>
    <w:rsid w:val="003029D9"/>
    <w:rsid w:val="00383E0B"/>
    <w:rsid w:val="004D0334"/>
    <w:rsid w:val="00980084"/>
    <w:rsid w:val="00A42DAE"/>
    <w:rsid w:val="00D71F49"/>
    <w:rsid w:val="00E4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723"/>
    <w:pPr>
      <w:widowControl/>
      <w:suppressAutoHyphens/>
      <w:spacing w:after="160" w:line="242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E477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7723"/>
    <w:pPr>
      <w:spacing w:after="120"/>
    </w:pPr>
  </w:style>
  <w:style w:type="paragraph" w:styleId="a3">
    <w:name w:val="List"/>
    <w:basedOn w:val="Textbody"/>
    <w:rsid w:val="00E47723"/>
    <w:rPr>
      <w:rFonts w:cs="Mangal"/>
    </w:rPr>
  </w:style>
  <w:style w:type="paragraph" w:styleId="a4">
    <w:name w:val="caption"/>
    <w:basedOn w:val="Standard"/>
    <w:rsid w:val="00E477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7723"/>
    <w:pPr>
      <w:suppressLineNumbers/>
    </w:pPr>
    <w:rPr>
      <w:rFonts w:cs="Mangal"/>
    </w:rPr>
  </w:style>
  <w:style w:type="paragraph" w:customStyle="1" w:styleId="ConsPlusNormal">
    <w:name w:val="ConsPlusNormal"/>
    <w:rsid w:val="00E47723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47723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E47723"/>
    <w:pPr>
      <w:suppressAutoHyphens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Cell">
    <w:name w:val="ConsPlusCell"/>
    <w:rsid w:val="00E47723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rsid w:val="00E47723"/>
    <w:pPr>
      <w:suppressAutoHyphens/>
      <w:autoSpaceDE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rsid w:val="00E47723"/>
    <w:pPr>
      <w:suppressAutoHyphens/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ConsPlusJurTerm">
    <w:name w:val="ConsPlusJurTerm"/>
    <w:rsid w:val="00E47723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extList">
    <w:name w:val="ConsPlusTextList"/>
    <w:rsid w:val="00E47723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extList1">
    <w:name w:val="ConsPlusTextList1"/>
    <w:rsid w:val="00E47723"/>
    <w:pPr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header"/>
    <w:basedOn w:val="Standard"/>
    <w:rsid w:val="00E47723"/>
    <w:pPr>
      <w:tabs>
        <w:tab w:val="center" w:pos="4677"/>
        <w:tab w:val="right" w:pos="9355"/>
      </w:tabs>
    </w:pPr>
  </w:style>
  <w:style w:type="paragraph" w:styleId="a6">
    <w:name w:val="footer"/>
    <w:basedOn w:val="Standard"/>
    <w:rsid w:val="00E47723"/>
    <w:pPr>
      <w:tabs>
        <w:tab w:val="center" w:pos="4677"/>
        <w:tab w:val="right" w:pos="9355"/>
      </w:tabs>
    </w:pPr>
  </w:style>
  <w:style w:type="paragraph" w:customStyle="1" w:styleId="1">
    <w:name w:val="Обычный (веб)1"/>
    <w:basedOn w:val="Standard"/>
    <w:rsid w:val="00E47723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Нумерованный абзац"/>
    <w:rsid w:val="00E47723"/>
    <w:pPr>
      <w:widowControl/>
      <w:tabs>
        <w:tab w:val="left" w:pos="1134"/>
      </w:tabs>
      <w:suppressAutoHyphens/>
      <w:spacing w:before="120"/>
      <w:jc w:val="both"/>
    </w:pPr>
    <w:rPr>
      <w:rFonts w:eastAsia="Times New Roman" w:cs="Times New Roman"/>
      <w:sz w:val="27"/>
      <w:szCs w:val="20"/>
      <w:lang w:bidi="ar-SA"/>
    </w:rPr>
  </w:style>
  <w:style w:type="paragraph" w:styleId="a8">
    <w:name w:val="Balloon Text"/>
    <w:basedOn w:val="Standard"/>
    <w:rsid w:val="00E47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723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E47723"/>
    <w:pPr>
      <w:suppressLineNumbers/>
    </w:pPr>
  </w:style>
  <w:style w:type="paragraph" w:customStyle="1" w:styleId="TableHeading">
    <w:name w:val="Table Heading"/>
    <w:basedOn w:val="TableContents"/>
    <w:rsid w:val="00E47723"/>
    <w:pPr>
      <w:jc w:val="center"/>
    </w:pPr>
    <w:rPr>
      <w:b/>
      <w:bCs/>
    </w:rPr>
  </w:style>
  <w:style w:type="character" w:customStyle="1" w:styleId="WW8Num1z0">
    <w:name w:val="WW8Num1z0"/>
    <w:rsid w:val="00E47723"/>
    <w:rPr>
      <w:rFonts w:cs="Times New Roman"/>
    </w:rPr>
  </w:style>
  <w:style w:type="character" w:customStyle="1" w:styleId="WW8Num1z1">
    <w:name w:val="WW8Num1z1"/>
    <w:rsid w:val="00E47723"/>
    <w:rPr>
      <w:rFonts w:cs="Times New Roman"/>
    </w:rPr>
  </w:style>
  <w:style w:type="character" w:customStyle="1" w:styleId="HeaderChar">
    <w:name w:val="Header Char"/>
    <w:basedOn w:val="a0"/>
    <w:rsid w:val="00E47723"/>
    <w:rPr>
      <w:rFonts w:cs="Times New Roman"/>
    </w:rPr>
  </w:style>
  <w:style w:type="character" w:customStyle="1" w:styleId="FooterChar">
    <w:name w:val="Footer Char"/>
    <w:basedOn w:val="a0"/>
    <w:rsid w:val="00E47723"/>
    <w:rPr>
      <w:rFonts w:cs="Times New Roman"/>
    </w:rPr>
  </w:style>
  <w:style w:type="character" w:customStyle="1" w:styleId="docaccesstitle">
    <w:name w:val="docaccess_title"/>
    <w:rsid w:val="00E47723"/>
  </w:style>
  <w:style w:type="character" w:customStyle="1" w:styleId="BalloonTextChar">
    <w:name w:val="Balloon Text Char"/>
    <w:basedOn w:val="a0"/>
    <w:rsid w:val="00E47723"/>
    <w:rPr>
      <w:rFonts w:ascii="Times New Roman" w:hAnsi="Times New Roman" w:cs="Times New Roman"/>
      <w:sz w:val="2"/>
    </w:rPr>
  </w:style>
  <w:style w:type="character" w:customStyle="1" w:styleId="Internetlink">
    <w:name w:val="Internet link"/>
    <w:basedOn w:val="a0"/>
    <w:rsid w:val="00E47723"/>
    <w:rPr>
      <w:color w:val="0000FF"/>
      <w:u w:val="single"/>
    </w:rPr>
  </w:style>
  <w:style w:type="paragraph" w:styleId="a9">
    <w:name w:val="List Paragraph"/>
    <w:basedOn w:val="a"/>
    <w:rsid w:val="00E47723"/>
    <w:pPr>
      <w:ind w:left="720"/>
    </w:pPr>
    <w:rPr>
      <w:szCs w:val="21"/>
    </w:rPr>
  </w:style>
  <w:style w:type="numbering" w:customStyle="1" w:styleId="WW8Num1">
    <w:name w:val="WW8Num1"/>
    <w:basedOn w:val="a2"/>
    <w:rsid w:val="00E4772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vt:lpstr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dc:title>
  <dc:creator>ГлБух</dc:creator>
  <cp:lastModifiedBy>adm</cp:lastModifiedBy>
  <cp:revision>3</cp:revision>
  <cp:lastPrinted>2018-11-15T11:10:00Z</cp:lastPrinted>
  <dcterms:created xsi:type="dcterms:W3CDTF">2020-12-08T12:25:00Z</dcterms:created>
  <dcterms:modified xsi:type="dcterms:W3CDTF">2020-12-14T07:47:00Z</dcterms:modified>
</cp:coreProperties>
</file>